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C36556" w14:textId="36674A62" w:rsidR="00CD4C7B" w:rsidRPr="00B266B0" w:rsidRDefault="003A41EF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bookmarkStart w:id="0" w:name="_Hlk506229"/>
      <w:r w:rsidRPr="003A41EF">
        <w:rPr>
          <w:bCs/>
          <w:noProof w:val="0"/>
          <w:sz w:val="24"/>
          <w:szCs w:val="24"/>
        </w:rPr>
        <w:t xml:space="preserve">3GPP TSG-RAN WG2 Meeting </w:t>
      </w:r>
      <w:r w:rsidR="00F941DF">
        <w:rPr>
          <w:bCs/>
          <w:noProof w:val="0"/>
          <w:sz w:val="24"/>
          <w:szCs w:val="24"/>
        </w:rPr>
        <w:t>#</w:t>
      </w:r>
      <w:r w:rsidR="007C2DD0">
        <w:rPr>
          <w:bCs/>
          <w:noProof w:val="0"/>
          <w:sz w:val="24"/>
          <w:szCs w:val="24"/>
        </w:rPr>
        <w:t>10</w:t>
      </w:r>
      <w:r w:rsidR="00DA2622">
        <w:rPr>
          <w:bCs/>
          <w:noProof w:val="0"/>
          <w:sz w:val="24"/>
          <w:szCs w:val="24"/>
        </w:rPr>
        <w:t>5</w:t>
      </w:r>
      <w:r w:rsidR="00CD4C7B" w:rsidRPr="00B266B0">
        <w:rPr>
          <w:bCs/>
          <w:noProof w:val="0"/>
          <w:sz w:val="24"/>
          <w:szCs w:val="24"/>
        </w:rPr>
        <w:tab/>
      </w:r>
      <w:r w:rsidR="009359CA" w:rsidRPr="009359CA">
        <w:rPr>
          <w:bCs/>
          <w:noProof w:val="0"/>
          <w:sz w:val="24"/>
          <w:szCs w:val="24"/>
        </w:rPr>
        <w:t>R2-1900604</w:t>
      </w:r>
    </w:p>
    <w:p w14:paraId="231362B2" w14:textId="6074E3CA" w:rsidR="00CD4C7B" w:rsidRPr="001E404A" w:rsidRDefault="00DA2622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Athe</w:t>
      </w:r>
      <w:r w:rsidR="00CB72B8">
        <w:rPr>
          <w:rFonts w:eastAsia="SimSun"/>
          <w:noProof w:val="0"/>
          <w:sz w:val="24"/>
          <w:szCs w:val="24"/>
          <w:lang w:eastAsia="zh-CN"/>
        </w:rPr>
        <w:t>n</w:t>
      </w:r>
      <w:r>
        <w:rPr>
          <w:rFonts w:eastAsia="SimSun"/>
          <w:noProof w:val="0"/>
          <w:sz w:val="24"/>
          <w:szCs w:val="24"/>
          <w:lang w:eastAsia="zh-CN"/>
        </w:rPr>
        <w:t>s</w:t>
      </w:r>
      <w:r w:rsidR="00CB72B8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Greece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25</w:t>
      </w:r>
      <w:r w:rsidRPr="00DA2622">
        <w:rPr>
          <w:rFonts w:eastAsia="SimSun"/>
          <w:noProof w:val="0"/>
          <w:sz w:val="24"/>
          <w:szCs w:val="24"/>
          <w:vertAlign w:val="superscript"/>
          <w:lang w:eastAsia="zh-CN"/>
        </w:rPr>
        <w:t>th</w:t>
      </w:r>
      <w:r>
        <w:rPr>
          <w:rFonts w:eastAsia="SimSun"/>
          <w:noProof w:val="0"/>
          <w:sz w:val="24"/>
          <w:szCs w:val="24"/>
          <w:lang w:eastAsia="zh-CN"/>
        </w:rPr>
        <w:t xml:space="preserve"> of February – 1</w:t>
      </w:r>
      <w:r w:rsidRPr="00DA2622">
        <w:rPr>
          <w:rFonts w:eastAsia="SimSun"/>
          <w:noProof w:val="0"/>
          <w:sz w:val="24"/>
          <w:szCs w:val="24"/>
          <w:vertAlign w:val="superscript"/>
          <w:lang w:eastAsia="zh-CN"/>
        </w:rPr>
        <w:t>st</w:t>
      </w:r>
      <w:r>
        <w:rPr>
          <w:rFonts w:eastAsia="SimSun"/>
          <w:noProof w:val="0"/>
          <w:sz w:val="24"/>
          <w:szCs w:val="24"/>
          <w:lang w:eastAsia="zh-CN"/>
        </w:rPr>
        <w:t xml:space="preserve"> of March</w:t>
      </w:r>
      <w:r w:rsidR="008F396F" w:rsidRPr="008F396F">
        <w:rPr>
          <w:rFonts w:eastAsia="SimSun"/>
          <w:noProof w:val="0"/>
          <w:sz w:val="24"/>
          <w:szCs w:val="24"/>
          <w:lang w:eastAsia="zh-CN"/>
        </w:rPr>
        <w:t xml:space="preserve"> 201</w:t>
      </w:r>
      <w:r>
        <w:rPr>
          <w:rFonts w:eastAsia="SimSun"/>
          <w:noProof w:val="0"/>
          <w:sz w:val="24"/>
          <w:szCs w:val="24"/>
          <w:lang w:eastAsia="zh-CN"/>
        </w:rPr>
        <w:t>9</w:t>
      </w:r>
      <w:bookmarkEnd w:id="0"/>
      <w:r w:rsidR="00364B41"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4DC52F17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1E404A" w:rsidRPr="001E404A">
        <w:rPr>
          <w:rFonts w:cs="Arial"/>
          <w:b/>
          <w:bCs/>
          <w:sz w:val="24"/>
          <w:lang w:eastAsia="ja-JP"/>
        </w:rPr>
        <w:t>11.4.2.</w:t>
      </w:r>
      <w:r w:rsidR="000C1F86">
        <w:rPr>
          <w:rFonts w:cs="Arial"/>
          <w:b/>
          <w:bCs/>
          <w:sz w:val="24"/>
          <w:lang w:eastAsia="ja-JP"/>
        </w:rPr>
        <w:t>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0094F06B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1C3EC4">
        <w:rPr>
          <w:rFonts w:ascii="Arial" w:hAnsi="Arial" w:cs="Arial"/>
          <w:b/>
          <w:bCs/>
          <w:sz w:val="24"/>
        </w:rPr>
        <w:t>Valid</w:t>
      </w:r>
      <w:r w:rsidR="005471D3">
        <w:rPr>
          <w:rFonts w:ascii="Arial" w:hAnsi="Arial" w:cs="Arial"/>
          <w:b/>
          <w:bCs/>
          <w:sz w:val="24"/>
        </w:rPr>
        <w:t>i</w:t>
      </w:r>
      <w:r w:rsidR="001C3EC4">
        <w:rPr>
          <w:rFonts w:ascii="Arial" w:hAnsi="Arial" w:cs="Arial"/>
          <w:b/>
          <w:bCs/>
          <w:sz w:val="24"/>
        </w:rPr>
        <w:t>t</w:t>
      </w:r>
      <w:r w:rsidR="005471D3">
        <w:rPr>
          <w:rFonts w:ascii="Arial" w:hAnsi="Arial" w:cs="Arial"/>
          <w:b/>
          <w:bCs/>
          <w:sz w:val="24"/>
        </w:rPr>
        <w:t>y</w:t>
      </w:r>
      <w:r w:rsidR="001C3EC4">
        <w:rPr>
          <w:rFonts w:ascii="Arial" w:hAnsi="Arial" w:cs="Arial"/>
          <w:b/>
          <w:bCs/>
          <w:sz w:val="24"/>
        </w:rPr>
        <w:t xml:space="preserve"> area f</w:t>
      </w:r>
      <w:r w:rsidR="00821BC2">
        <w:rPr>
          <w:rFonts w:ascii="Arial" w:hAnsi="Arial" w:cs="Arial"/>
          <w:b/>
          <w:bCs/>
          <w:sz w:val="24"/>
        </w:rPr>
        <w:t>or</w:t>
      </w:r>
      <w:r w:rsidR="001C3EC4">
        <w:rPr>
          <w:rFonts w:ascii="Arial" w:hAnsi="Arial" w:cs="Arial"/>
          <w:b/>
          <w:bCs/>
          <w:sz w:val="24"/>
        </w:rPr>
        <w:t xml:space="preserve"> </w:t>
      </w:r>
      <w:r w:rsidR="00EC1E99">
        <w:rPr>
          <w:rFonts w:ascii="Arial" w:hAnsi="Arial" w:cs="Arial"/>
          <w:b/>
          <w:bCs/>
          <w:sz w:val="24"/>
        </w:rPr>
        <w:t xml:space="preserve">NR </w:t>
      </w:r>
      <w:r w:rsidR="00DD0D29">
        <w:rPr>
          <w:rFonts w:ascii="Arial" w:hAnsi="Arial" w:cs="Arial"/>
          <w:b/>
          <w:bCs/>
          <w:sz w:val="24"/>
        </w:rPr>
        <w:t>s</w:t>
      </w:r>
      <w:r w:rsidR="00382439">
        <w:rPr>
          <w:rFonts w:ascii="Arial" w:hAnsi="Arial" w:cs="Arial"/>
          <w:b/>
          <w:bCs/>
          <w:sz w:val="24"/>
        </w:rPr>
        <w:t>idelink resource allocati</w:t>
      </w:r>
      <w:r w:rsidR="001C3EC4">
        <w:rPr>
          <w:rFonts w:ascii="Arial" w:hAnsi="Arial" w:cs="Arial"/>
          <w:b/>
          <w:bCs/>
          <w:sz w:val="24"/>
        </w:rPr>
        <w:t xml:space="preserve">on </w:t>
      </w:r>
      <w:r w:rsidR="00821BC2">
        <w:rPr>
          <w:rFonts w:ascii="Arial" w:hAnsi="Arial" w:cs="Arial"/>
          <w:b/>
          <w:bCs/>
          <w:sz w:val="24"/>
        </w:rPr>
        <w:t>in</w:t>
      </w:r>
      <w:r w:rsidR="00EC1E99">
        <w:rPr>
          <w:rFonts w:ascii="Arial" w:hAnsi="Arial" w:cs="Arial"/>
          <w:b/>
          <w:bCs/>
          <w:sz w:val="24"/>
        </w:rPr>
        <w:t xml:space="preserve"> V2X</w:t>
      </w:r>
      <w:r w:rsidR="00981421">
        <w:rPr>
          <w:rFonts w:ascii="Arial" w:hAnsi="Arial" w:cs="Arial"/>
          <w:b/>
          <w:bCs/>
          <w:sz w:val="24"/>
        </w:rPr>
        <w:t xml:space="preserve"> communications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493983A1" w14:textId="754D3B33" w:rsidR="00293477" w:rsidRPr="006E13D1" w:rsidRDefault="00A5239A" w:rsidP="00BC002A">
      <w:pPr>
        <w:spacing w:before="240"/>
        <w:jc w:val="both"/>
      </w:pPr>
      <w:r>
        <w:t xml:space="preserve">Validity area was discussed in </w:t>
      </w:r>
      <w:r w:rsidR="00F17E18">
        <w:t>RAN2 e-mail discussion</w:t>
      </w:r>
      <w:r>
        <w:t xml:space="preserve"> on SL resource allocation [1]. </w:t>
      </w:r>
      <w:r w:rsidR="00520A4B">
        <w:t xml:space="preserve">This contribution discusses and </w:t>
      </w:r>
      <w:r>
        <w:t>clarifies the different</w:t>
      </w:r>
      <w:r w:rsidR="00CE17BD">
        <w:t xml:space="preserve"> type</w:t>
      </w:r>
      <w:r w:rsidR="00821BC2">
        <w:t>s</w:t>
      </w:r>
      <w:r>
        <w:t xml:space="preserve"> of validity area </w:t>
      </w:r>
      <w:r w:rsidR="00821BC2">
        <w:t>f</w:t>
      </w:r>
      <w:r>
        <w:t>o</w:t>
      </w:r>
      <w:r w:rsidR="00821BC2">
        <w:t>r</w:t>
      </w:r>
      <w:r>
        <w:t xml:space="preserve"> SL mode 1 and mode 2 resource allocation</w:t>
      </w:r>
      <w:r w:rsidR="002D3857">
        <w:t>.</w:t>
      </w:r>
    </w:p>
    <w:p w14:paraId="127ACA6D" w14:textId="7458649E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2D3857">
        <w:t>Discussion</w:t>
      </w:r>
    </w:p>
    <w:p w14:paraId="1FF78A87" w14:textId="6D8E5507" w:rsidR="00364CCF" w:rsidRDefault="000D2BF2" w:rsidP="00F357C7">
      <w:pPr>
        <w:jc w:val="both"/>
      </w:pPr>
      <w:r>
        <w:t>The questions related to validity area for both SL mode 1 and mode 2 resource allocation ware asked in RAN2 email discussion on SL resource allocation. The overall purpose of the validity area is to keep the SL resource</w:t>
      </w:r>
      <w:r w:rsidR="00821BC2">
        <w:t>(s)</w:t>
      </w:r>
      <w:r>
        <w:t xml:space="preserve"> unchanged</w:t>
      </w:r>
      <w:r w:rsidR="00821BC2">
        <w:t xml:space="preserve"> in order to achieve stable performance and reduce the latency [1]</w:t>
      </w:r>
      <w:r>
        <w:t xml:space="preserve"> while vehicles are moving within certain area. However, considering SL mode 1 and mode 2 resource allocation schemes that are under discussion </w:t>
      </w:r>
      <w:r w:rsidR="00821BC2">
        <w:t xml:space="preserve">(so far </w:t>
      </w:r>
      <w:r>
        <w:t>mainly in RAN1</w:t>
      </w:r>
      <w:r w:rsidR="00821BC2">
        <w:t>)</w:t>
      </w:r>
      <w:r>
        <w:t xml:space="preserve">, the usage of the validity area </w:t>
      </w:r>
      <w:r w:rsidR="00EC5FF4">
        <w:t>i</w:t>
      </w:r>
      <w:r>
        <w:t>n mode 1&amp;2 resource configuration as well as the potential benefits and costs may be different case by case.</w:t>
      </w:r>
      <w:r w:rsidR="00CE17BD">
        <w:t xml:space="preserve"> </w:t>
      </w:r>
      <w:r w:rsidR="00B613F0">
        <w:t>In our view,</w:t>
      </w:r>
      <w:r w:rsidR="00CE17BD">
        <w:t xml:space="preserve"> there may </w:t>
      </w:r>
      <w:r w:rsidR="00EC5FF4">
        <w:t>be</w:t>
      </w:r>
      <w:r w:rsidR="00CE17BD">
        <w:t xml:space="preserve"> three types of validity area for </w:t>
      </w:r>
      <w:r w:rsidR="00B613F0">
        <w:t xml:space="preserve">SL </w:t>
      </w:r>
      <w:r w:rsidR="00CE17BD">
        <w:t>mode 1&amp;2:</w:t>
      </w:r>
    </w:p>
    <w:p w14:paraId="5CA3061E" w14:textId="057CF8F4" w:rsidR="00CE17BD" w:rsidRPr="00CD738E" w:rsidRDefault="00050459" w:rsidP="00CD738E">
      <w:pPr>
        <w:pStyle w:val="Heading2"/>
      </w:pPr>
      <w:r>
        <w:t xml:space="preserve">2.1 </w:t>
      </w:r>
      <w:r w:rsidR="00CE17BD" w:rsidRPr="00CD738E">
        <w:t xml:space="preserve">Type 1 of validity area: </w:t>
      </w:r>
      <w:r w:rsidR="00887951" w:rsidRPr="00CD738E">
        <w:t xml:space="preserve">SL </w:t>
      </w:r>
      <w:r w:rsidR="00CE17BD" w:rsidRPr="00CD738E">
        <w:t xml:space="preserve">mode 2 resource pool </w:t>
      </w:r>
      <w:r w:rsidR="00B11C1C" w:rsidRPr="00CD738E">
        <w:t>configuration</w:t>
      </w:r>
      <w:r>
        <w:t xml:space="preserve"> </w:t>
      </w:r>
      <w:r w:rsidR="00B11C1C" w:rsidRPr="00CD738E">
        <w:t>kept the same within the validity area</w:t>
      </w:r>
    </w:p>
    <w:p w14:paraId="11D64BB0" w14:textId="0A888E12" w:rsidR="00B613F0" w:rsidRDefault="00A146A4" w:rsidP="00F357C7">
      <w:pPr>
        <w:jc w:val="both"/>
      </w:pPr>
      <w:r>
        <w:t xml:space="preserve">According to RAN2 email discussion on SL resource allocation [1], the SL mode 2 resource pool may be configured either via broadcast signalling or dedicated signalling. </w:t>
      </w:r>
      <w:r w:rsidR="00522027">
        <w:t xml:space="preserve">In case of mode 2 resource pool is configured via broadcasted system information, </w:t>
      </w:r>
      <w:r w:rsidR="00123300">
        <w:t xml:space="preserve">validity area may be used to </w:t>
      </w:r>
      <w:r w:rsidR="00EC5FF4">
        <w:t>remove the necessity of</w:t>
      </w:r>
      <w:r w:rsidR="00123300">
        <w:t xml:space="preserve"> UE read</w:t>
      </w:r>
      <w:r w:rsidR="00EC5FF4">
        <w:t>ing</w:t>
      </w:r>
      <w:r w:rsidR="00123300">
        <w:t xml:space="preserve"> new SIB for mode 2 resource pool configuration while mov</w:t>
      </w:r>
      <w:r w:rsidR="0069717F">
        <w:t>ing</w:t>
      </w:r>
      <w:r w:rsidR="00123300">
        <w:t xml:space="preserve"> to a new cell in RRC Idle or Inactive state. </w:t>
      </w:r>
      <w:r w:rsidR="00A476C6">
        <w:t xml:space="preserve">SIB validity within validity area that may be larger than one cell coverage is already supported in NR </w:t>
      </w:r>
      <w:r w:rsidR="00123300">
        <w:t>SIB</w:t>
      </w:r>
      <w:r w:rsidR="00A476C6">
        <w:t xml:space="preserve"> design [</w:t>
      </w:r>
      <w:r w:rsidR="0069717F">
        <w:t>2</w:t>
      </w:r>
      <w:r w:rsidR="00A476C6">
        <w:t>]. It should be straightforward to reuse the same mechanism to enable type 1 validity area</w:t>
      </w:r>
      <w:r w:rsidR="00B613F0">
        <w:t xml:space="preserve"> for SL mode 2 resource pool configuration via SIB</w:t>
      </w:r>
      <w:r w:rsidR="00A476C6">
        <w:t xml:space="preserve">. </w:t>
      </w:r>
    </w:p>
    <w:p w14:paraId="4CD2D463" w14:textId="33BEFAE4" w:rsidR="00887951" w:rsidRDefault="00A476C6" w:rsidP="00F357C7">
      <w:pPr>
        <w:jc w:val="both"/>
      </w:pPr>
      <w:r>
        <w:t xml:space="preserve">In case of mode 2 resource pool is configured via dedicated signalling, </w:t>
      </w:r>
      <w:r w:rsidR="00123300">
        <w:t xml:space="preserve">the same mode 2 resource pool can be configured to the UE during HO procedure. </w:t>
      </w:r>
      <w:r w:rsidR="0069717F">
        <w:t>There</w:t>
      </w:r>
      <w:r w:rsidR="00123300">
        <w:t xml:space="preserve"> seems</w:t>
      </w:r>
      <w:r w:rsidR="0069717F">
        <w:t xml:space="preserve"> to be</w:t>
      </w:r>
      <w:r w:rsidR="00123300">
        <w:t xml:space="preserve"> no strong reason to have the validity area defined for this case at least from</w:t>
      </w:r>
      <w:r w:rsidR="00A96B48">
        <w:t xml:space="preserve"> signalling overhead</w:t>
      </w:r>
      <w:r w:rsidR="00B613F0">
        <w:t xml:space="preserve">, </w:t>
      </w:r>
      <w:r w:rsidR="00A96B48">
        <w:t>UE processing overhead</w:t>
      </w:r>
      <w:r w:rsidR="0069717F">
        <w:t>,</w:t>
      </w:r>
      <w:r w:rsidR="00A96B48">
        <w:t xml:space="preserve"> </w:t>
      </w:r>
      <w:r w:rsidR="00B613F0">
        <w:t xml:space="preserve">as well as the SL performance </w:t>
      </w:r>
      <w:r w:rsidR="00A96B48">
        <w:t xml:space="preserve">point of view, unless UE </w:t>
      </w:r>
      <w:proofErr w:type="gramStart"/>
      <w:r w:rsidR="00A96B48">
        <w:t>is allowed to</w:t>
      </w:r>
      <w:proofErr w:type="gramEnd"/>
      <w:r w:rsidR="00A96B48">
        <w:t xml:space="preserve"> use the mode 2 resource pool configured via dedicated signalling while moving to RRC Idle or Inactive state.</w:t>
      </w:r>
    </w:p>
    <w:p w14:paraId="43C277D1" w14:textId="5EE4C9A8" w:rsidR="00A96B48" w:rsidRPr="00CA3B1A" w:rsidRDefault="00A96B48" w:rsidP="00F357C7">
      <w:pPr>
        <w:jc w:val="both"/>
        <w:rPr>
          <w:b/>
        </w:rPr>
      </w:pPr>
      <w:r w:rsidRPr="00CA3B1A">
        <w:rPr>
          <w:b/>
        </w:rPr>
        <w:t>Proposal 1: Reuse NR SIB validity mechanism to enable the type 1 of validity area</w:t>
      </w:r>
      <w:r w:rsidR="00CA3B1A" w:rsidRPr="00CA3B1A">
        <w:rPr>
          <w:b/>
        </w:rPr>
        <w:t xml:space="preserve"> when mode 2 resource pool is configured via broadcast signalling.</w:t>
      </w:r>
    </w:p>
    <w:p w14:paraId="6AAF5A3E" w14:textId="439E94A3" w:rsidR="00B613F0" w:rsidRDefault="00CA3B1A" w:rsidP="00F357C7">
      <w:pPr>
        <w:jc w:val="both"/>
        <w:rPr>
          <w:b/>
        </w:rPr>
      </w:pPr>
      <w:r w:rsidRPr="00CA3B1A">
        <w:rPr>
          <w:b/>
        </w:rPr>
        <w:t>Proposal 2: RAN2 is kindly asked to discuss whether type 1 of validity area should be supported when mode 2 resource pool is configured via dedicated signalling.</w:t>
      </w:r>
    </w:p>
    <w:p w14:paraId="4C9D01BC" w14:textId="2975FEAD" w:rsidR="00887951" w:rsidRPr="00CD738E" w:rsidRDefault="00050459" w:rsidP="00CD738E">
      <w:pPr>
        <w:pStyle w:val="Heading2"/>
      </w:pPr>
      <w:r>
        <w:t xml:space="preserve">2.2 </w:t>
      </w:r>
      <w:r w:rsidR="00887951" w:rsidRPr="00CD738E">
        <w:t xml:space="preserve">Type 2 of validity area: required </w:t>
      </w:r>
      <w:r w:rsidR="00E85474" w:rsidRPr="00CD738E">
        <w:t xml:space="preserve">SL </w:t>
      </w:r>
      <w:r w:rsidR="00887951" w:rsidRPr="00CD738E">
        <w:t xml:space="preserve">mode 1 resource </w:t>
      </w:r>
      <w:r w:rsidR="00EE7576" w:rsidRPr="00CD738E">
        <w:t>committed</w:t>
      </w:r>
      <w:r w:rsidR="00887951" w:rsidRPr="00CD738E">
        <w:t xml:space="preserve"> within the validity area</w:t>
      </w:r>
    </w:p>
    <w:p w14:paraId="59040BA7" w14:textId="4E19A252" w:rsidR="00E85474" w:rsidRDefault="00397AD3" w:rsidP="00F357C7">
      <w:pPr>
        <w:jc w:val="both"/>
      </w:pPr>
      <w:r>
        <w:t>NR SL design is targeted to fulfil more stringent QoS demands associated with advanced V2X service</w:t>
      </w:r>
      <w:r w:rsidR="00B613F0">
        <w:t xml:space="preserve">. </w:t>
      </w:r>
      <w:r>
        <w:t xml:space="preserve"> </w:t>
      </w:r>
      <w:r w:rsidR="00B613F0">
        <w:t xml:space="preserve">The high mobility of vehicles may also make UEs to have </w:t>
      </w:r>
      <w:r>
        <w:t>frequent HO</w:t>
      </w:r>
      <w:r w:rsidR="0069717F">
        <w:t>s</w:t>
      </w:r>
      <w:r>
        <w:t xml:space="preserve"> during SL communication if mode 1 resource allocation scheme is configured for the UE. </w:t>
      </w:r>
      <w:proofErr w:type="gramStart"/>
      <w:r>
        <w:t>In order to</w:t>
      </w:r>
      <w:proofErr w:type="gramEnd"/>
      <w:r>
        <w:t xml:space="preserve"> guarantee the QoS not only in the current serving cell but also in the potential coming cells, the commitment of the SL mode 1 resource may be preferred within certain validity area that is larger than one cell. Herein, the allocated SL mode 1 resources </w:t>
      </w:r>
      <w:r w:rsidR="0069717F">
        <w:t>are</w:t>
      </w:r>
      <w:r>
        <w:t xml:space="preserve"> not necessar</w:t>
      </w:r>
      <w:r w:rsidR="0069717F">
        <w:t>il</w:t>
      </w:r>
      <w:r>
        <w:t xml:space="preserve">y the same from one cell to another cell in the </w:t>
      </w:r>
      <w:r w:rsidR="007E2AF9">
        <w:t xml:space="preserve">type 2 of </w:t>
      </w:r>
      <w:r>
        <w:t xml:space="preserve">validity area. The dedicated mode 1 resource can be allocated dynamically in each serving cell </w:t>
      </w:r>
      <w:r w:rsidR="00CF1FDC">
        <w:t xml:space="preserve">based on </w:t>
      </w:r>
      <w:r w:rsidR="007E2AF9">
        <w:t xml:space="preserve">e.g. </w:t>
      </w:r>
      <w:r w:rsidR="00CF1FDC">
        <w:t xml:space="preserve">the resource usage status and SL channel status </w:t>
      </w:r>
      <w:r>
        <w:t>while UE handover</w:t>
      </w:r>
      <w:r w:rsidR="0069717F">
        <w:t>s</w:t>
      </w:r>
      <w:r>
        <w:t xml:space="preserve"> to the</w:t>
      </w:r>
      <w:r w:rsidR="007E2AF9">
        <w:t xml:space="preserve"> new serving</w:t>
      </w:r>
      <w:r>
        <w:t xml:space="preserve"> cell. The other cells in the type 2 validity area </w:t>
      </w:r>
      <w:r>
        <w:lastRenderedPageBreak/>
        <w:t xml:space="preserve">need to </w:t>
      </w:r>
      <w:r w:rsidR="0069717F">
        <w:t xml:space="preserve">only </w:t>
      </w:r>
      <w:r>
        <w:t xml:space="preserve">ensure that the </w:t>
      </w:r>
      <w:proofErr w:type="gramStart"/>
      <w:r>
        <w:t>sufficient</w:t>
      </w:r>
      <w:proofErr w:type="gramEnd"/>
      <w:r>
        <w:t xml:space="preserve"> resources </w:t>
      </w:r>
      <w:r w:rsidR="007E2AF9">
        <w:t>are</w:t>
      </w:r>
      <w:r w:rsidR="00CF1FDC">
        <w:t xml:space="preserve"> available when needed. In this way, </w:t>
      </w:r>
      <w:r w:rsidR="007E2AF9">
        <w:t xml:space="preserve">only the limited signalling among the </w:t>
      </w:r>
      <w:proofErr w:type="spellStart"/>
      <w:r w:rsidR="007E2AF9">
        <w:t>gNBs</w:t>
      </w:r>
      <w:proofErr w:type="spellEnd"/>
      <w:r w:rsidR="007E2AF9">
        <w:t xml:space="preserve"> within the validity area is need</w:t>
      </w:r>
      <w:r w:rsidR="0069717F">
        <w:t>ed</w:t>
      </w:r>
      <w:r w:rsidR="007E2AF9">
        <w:t xml:space="preserve"> to commit that the relevant cells have </w:t>
      </w:r>
      <w:proofErr w:type="gramStart"/>
      <w:r w:rsidR="007E2AF9">
        <w:t>sufficient</w:t>
      </w:r>
      <w:proofErr w:type="gramEnd"/>
      <w:r w:rsidR="007E2AF9">
        <w:t xml:space="preserve"> resources to serve the UE while UE handover</w:t>
      </w:r>
      <w:r w:rsidR="0069717F">
        <w:t>s</w:t>
      </w:r>
      <w:r w:rsidR="007E2AF9">
        <w:t xml:space="preserve"> to the cell. T</w:t>
      </w:r>
      <w:r w:rsidR="00CF1FDC">
        <w:t>he tight synchronization among the cells</w:t>
      </w:r>
      <w:r w:rsidR="0069717F">
        <w:t>,</w:t>
      </w:r>
      <w:r w:rsidR="00CF1FDC">
        <w:t xml:space="preserve"> </w:t>
      </w:r>
      <w:r w:rsidR="007E2AF9">
        <w:t>as discussed below</w:t>
      </w:r>
      <w:r w:rsidR="00CF1FDC">
        <w:t xml:space="preserve"> on resource allocation</w:t>
      </w:r>
      <w:r w:rsidR="0069717F">
        <w:t>,</w:t>
      </w:r>
      <w:r w:rsidR="00CF1FDC">
        <w:t xml:space="preserve"> is not needed.</w:t>
      </w:r>
    </w:p>
    <w:p w14:paraId="38B5813A" w14:textId="794CC77F" w:rsidR="007E2AF9" w:rsidRDefault="00CF1FDC" w:rsidP="00F357C7">
      <w:pPr>
        <w:jc w:val="both"/>
      </w:pPr>
      <w:r w:rsidRPr="00CF1FDC">
        <w:rPr>
          <w:b/>
        </w:rPr>
        <w:t>Proposal 3: RAN2 is kindly asked to discuss whether type 2 of validity area should be supported for SL mode 1 resource allocation.</w:t>
      </w:r>
    </w:p>
    <w:p w14:paraId="70FD328C" w14:textId="6A8702B5" w:rsidR="00887951" w:rsidRPr="00CD738E" w:rsidRDefault="00050459" w:rsidP="00CD738E">
      <w:pPr>
        <w:pStyle w:val="Heading2"/>
      </w:pPr>
      <w:r>
        <w:t xml:space="preserve">2.3 </w:t>
      </w:r>
      <w:r w:rsidR="00887951" w:rsidRPr="00CD738E">
        <w:t>Type 3 of validity area: allocated mode 1 resources kept the same within the validity area</w:t>
      </w:r>
    </w:p>
    <w:p w14:paraId="213C13F6" w14:textId="5C72C4F5" w:rsidR="00CF1FDC" w:rsidRDefault="00E85474" w:rsidP="00E85474">
      <w:pPr>
        <w:jc w:val="both"/>
      </w:pPr>
      <w:r>
        <w:t xml:space="preserve">RAN1 has agreed that both type 1 and type 2 configured grants are supported for NR SL when NR </w:t>
      </w:r>
      <w:proofErr w:type="spellStart"/>
      <w:r>
        <w:t>Uu</w:t>
      </w:r>
      <w:proofErr w:type="spellEnd"/>
      <w:r>
        <w:t xml:space="preserve"> schedules NR SL mode 1 [3].</w:t>
      </w:r>
      <w:r w:rsidR="00CF1FDC">
        <w:t xml:space="preserve"> For the configured grants scheduled for e.g. SL groupcast in platoon use cases, the same granted mode 1 resources may be preferred to be kept within the </w:t>
      </w:r>
      <w:r w:rsidR="007E2AF9">
        <w:t xml:space="preserve">type 3 of </w:t>
      </w:r>
      <w:r w:rsidR="00CF1FDC">
        <w:t xml:space="preserve">validity area that is larger than one cell so that the UEs monitoring the SL groupcast don’t need to </w:t>
      </w:r>
      <w:r w:rsidR="007E2AF9">
        <w:t>update</w:t>
      </w:r>
      <w:r w:rsidR="00CF1FDC">
        <w:t xml:space="preserve"> the resource</w:t>
      </w:r>
      <w:r w:rsidR="00BA1727">
        <w:t>s</w:t>
      </w:r>
      <w:r w:rsidR="00CF1FDC">
        <w:t xml:space="preserve"> to receive the SL groupcast while the group of UEs moves from one cell to another cell. </w:t>
      </w:r>
      <w:r w:rsidR="007E2AF9">
        <w:t xml:space="preserve">This may have the potential to improve the SL groupcast performance. </w:t>
      </w:r>
      <w:r w:rsidR="00CF1FDC">
        <w:t xml:space="preserve">However, </w:t>
      </w:r>
      <w:proofErr w:type="gramStart"/>
      <w:r w:rsidR="00CF1FDC">
        <w:t>in order to</w:t>
      </w:r>
      <w:proofErr w:type="gramEnd"/>
      <w:r w:rsidR="00CF1FDC">
        <w:t xml:space="preserve"> support this, </w:t>
      </w:r>
      <w:r w:rsidR="00B16105">
        <w:t xml:space="preserve">the packet scheduler of each </w:t>
      </w:r>
      <w:proofErr w:type="spellStart"/>
      <w:r w:rsidR="00B16105">
        <w:t>gNB</w:t>
      </w:r>
      <w:proofErr w:type="spellEnd"/>
      <w:r w:rsidR="00B16105">
        <w:t xml:space="preserve"> in the </w:t>
      </w:r>
      <w:r w:rsidR="007E2AF9">
        <w:t xml:space="preserve">type 3 of </w:t>
      </w:r>
      <w:r w:rsidR="00B16105">
        <w:t xml:space="preserve">validity area should have tight coordination to make sure the allocated resources to each SL groupcast do not conflict with each other at least in SL communication range. This will </w:t>
      </w:r>
      <w:r w:rsidR="00050459">
        <w:t xml:space="preserve">not </w:t>
      </w:r>
      <w:r w:rsidR="00B16105">
        <w:t>on</w:t>
      </w:r>
      <w:r w:rsidR="00050459">
        <w:t>ly</w:t>
      </w:r>
      <w:r w:rsidR="00B16105">
        <w:t xml:space="preserve"> introduce the processing and signalling overhead among the </w:t>
      </w:r>
      <w:proofErr w:type="spellStart"/>
      <w:r w:rsidR="00B16105">
        <w:t>gNBs</w:t>
      </w:r>
      <w:proofErr w:type="spellEnd"/>
      <w:r w:rsidR="00050459">
        <w:t>, but also will</w:t>
      </w:r>
      <w:r w:rsidR="00B16105">
        <w:t xml:space="preserve"> impact the resource usage efficiency if space reuse of the resources within the validity area cannot be easily enabled.</w:t>
      </w:r>
    </w:p>
    <w:p w14:paraId="47705BB2" w14:textId="58AF744C" w:rsidR="00CE17BD" w:rsidRDefault="00B16105" w:rsidP="00F357C7">
      <w:pPr>
        <w:jc w:val="both"/>
      </w:pPr>
      <w:r w:rsidRPr="00B16105">
        <w:rPr>
          <w:b/>
        </w:rPr>
        <w:t xml:space="preserve">Proposal 4: RAN2 is kindly asked not to support type 3 of validity area at least in the current </w:t>
      </w:r>
      <w:r w:rsidR="00050459">
        <w:rPr>
          <w:b/>
        </w:rPr>
        <w:t xml:space="preserve">3GPP </w:t>
      </w:r>
      <w:r w:rsidRPr="00B16105">
        <w:rPr>
          <w:b/>
        </w:rPr>
        <w:t xml:space="preserve">release. </w:t>
      </w:r>
    </w:p>
    <w:p w14:paraId="5FF0E443" w14:textId="3E5FC9BB" w:rsidR="00CD4C7B" w:rsidRDefault="00CD4C7B" w:rsidP="00CD4C7B">
      <w:pPr>
        <w:pStyle w:val="Heading1"/>
      </w:pPr>
      <w:r w:rsidRPr="006E13D1">
        <w:t>3</w:t>
      </w:r>
      <w:r w:rsidRPr="006E13D1">
        <w:tab/>
      </w:r>
      <w:r w:rsidR="00CD3A17">
        <w:t>Conclusion</w:t>
      </w:r>
    </w:p>
    <w:p w14:paraId="0D7C9757" w14:textId="5E0D7261" w:rsidR="00CD3A17" w:rsidRPr="00C7796A" w:rsidRDefault="00CD3A17" w:rsidP="00066DE7">
      <w:r>
        <w:t xml:space="preserve">The following proposals </w:t>
      </w:r>
      <w:r w:rsidR="00B16105">
        <w:t>for validity area of SL resource allocation</w:t>
      </w:r>
      <w:r w:rsidRPr="00CD3A17">
        <w:t xml:space="preserve"> </w:t>
      </w:r>
      <w:r>
        <w:t>are made</w:t>
      </w:r>
      <w:r w:rsidR="00BA1727">
        <w:t>:</w:t>
      </w:r>
    </w:p>
    <w:p w14:paraId="60F901FA" w14:textId="77777777" w:rsidR="00B16105" w:rsidRPr="00CA3B1A" w:rsidRDefault="00B16105" w:rsidP="00B16105">
      <w:pPr>
        <w:jc w:val="both"/>
        <w:rPr>
          <w:b/>
        </w:rPr>
      </w:pPr>
      <w:r w:rsidRPr="00CA3B1A">
        <w:rPr>
          <w:b/>
        </w:rPr>
        <w:t>Proposal 1: Reuse NR SIB validity mechanism to enable the type 1 of validity area when mode 2 resource pool is configured via broadcast signalling.</w:t>
      </w:r>
    </w:p>
    <w:p w14:paraId="4BCDCC01" w14:textId="0704314A" w:rsidR="00B16105" w:rsidRDefault="00B16105" w:rsidP="00B16105">
      <w:pPr>
        <w:jc w:val="both"/>
        <w:rPr>
          <w:b/>
        </w:rPr>
      </w:pPr>
      <w:r w:rsidRPr="00CA3B1A">
        <w:rPr>
          <w:b/>
        </w:rPr>
        <w:t>Proposal 2: RAN2 is kindly asked to discuss whether type 1 of validity area should be supported when mode 2 resource pool is configured via dedicated signalling.</w:t>
      </w:r>
    </w:p>
    <w:p w14:paraId="2232CD1E" w14:textId="77777777" w:rsidR="00B16105" w:rsidRPr="00CF1FDC" w:rsidRDefault="00B16105" w:rsidP="00B16105">
      <w:pPr>
        <w:jc w:val="both"/>
        <w:rPr>
          <w:b/>
        </w:rPr>
      </w:pPr>
      <w:r w:rsidRPr="00CF1FDC">
        <w:rPr>
          <w:b/>
        </w:rPr>
        <w:t>Proposal 3: RAN2 is kindly asked to discuss whether type 2 of validity area should be supported for SL mode 1 resource allocation.</w:t>
      </w:r>
    </w:p>
    <w:p w14:paraId="46E38A05" w14:textId="44E9ED39" w:rsidR="00B16105" w:rsidRPr="00CA3B1A" w:rsidRDefault="00B16105" w:rsidP="00B16105">
      <w:pPr>
        <w:jc w:val="both"/>
        <w:rPr>
          <w:b/>
        </w:rPr>
      </w:pPr>
      <w:r w:rsidRPr="00B16105">
        <w:rPr>
          <w:b/>
        </w:rPr>
        <w:t xml:space="preserve">Proposal 4: RAN2 is kindly asked not to support type 3 of validity area at least in the current </w:t>
      </w:r>
      <w:r w:rsidR="00050459">
        <w:rPr>
          <w:b/>
        </w:rPr>
        <w:t xml:space="preserve">3GPP </w:t>
      </w:r>
      <w:r w:rsidRPr="00B16105">
        <w:rPr>
          <w:b/>
        </w:rPr>
        <w:t xml:space="preserve">release. </w:t>
      </w:r>
    </w:p>
    <w:p w14:paraId="0FDCFAC2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41BC1C6B" w14:textId="7C796DE9" w:rsidR="00683F56" w:rsidRDefault="00683F56" w:rsidP="00683F5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1" w:name="_Ref506334"/>
      <w:r>
        <w:t xml:space="preserve">R2-19xxxxx </w:t>
      </w:r>
      <w:r w:rsidRPr="00683F56">
        <w:rPr>
          <w:i/>
        </w:rPr>
        <w:t>Report of [104#</w:t>
      </w:r>
      <w:proofErr w:type="gramStart"/>
      <w:r w:rsidRPr="00683F56">
        <w:rPr>
          <w:i/>
        </w:rPr>
        <w:t>59][</w:t>
      </w:r>
      <w:proofErr w:type="gramEnd"/>
      <w:r w:rsidRPr="00683F56">
        <w:rPr>
          <w:i/>
        </w:rPr>
        <w:t>NR/V2X] Resource allocation (LG)</w:t>
      </w:r>
      <w:r>
        <w:t xml:space="preserve"> 3GPP TSG-RAN WG2 Meeting #105 Athens, Greece, 25th of February – 1st of March 2019</w:t>
      </w:r>
      <w:bookmarkStart w:id="2" w:name="_GoBack"/>
      <w:bookmarkEnd w:id="1"/>
      <w:bookmarkEnd w:id="2"/>
    </w:p>
    <w:p w14:paraId="597A7FA6" w14:textId="509126BE" w:rsidR="002E6AF5" w:rsidRDefault="002E6AF5" w:rsidP="00683F56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t>TS</w:t>
      </w:r>
      <w:r w:rsidR="00BA1727">
        <w:t xml:space="preserve"> </w:t>
      </w:r>
      <w:r>
        <w:t>38.331 NR Radio Resource Control (RRC) protocol specification (Release 15); V15.4.0</w:t>
      </w:r>
    </w:p>
    <w:p w14:paraId="5CD2879E" w14:textId="347416C3" w:rsidR="002E6AF5" w:rsidRPr="002E6AF5" w:rsidRDefault="002E6AF5" w:rsidP="002E6AF5">
      <w:pPr>
        <w:pStyle w:val="TdocHeader2"/>
        <w:numPr>
          <w:ilvl w:val="0"/>
          <w:numId w:val="4"/>
        </w:numPr>
        <w:jc w:val="left"/>
        <w:rPr>
          <w:rFonts w:ascii="Times New Roman" w:hAnsi="Times New Roman"/>
          <w:b w:val="0"/>
          <w:sz w:val="20"/>
          <w:lang w:val="en-US"/>
        </w:rPr>
      </w:pPr>
      <w:r w:rsidRPr="002E6AF5">
        <w:rPr>
          <w:rFonts w:ascii="Times New Roman" w:hAnsi="Times New Roman"/>
          <w:b w:val="0"/>
          <w:sz w:val="20"/>
          <w:lang w:val="en-US"/>
        </w:rPr>
        <w:t>Draft Report of 3GPP TSG RAN WG1 #AH_1901 v0.1.0 (Taipei, Taiwan, 21</w:t>
      </w:r>
      <w:r w:rsidRPr="002E6AF5">
        <w:rPr>
          <w:rFonts w:ascii="Times New Roman" w:hAnsi="Times New Roman"/>
          <w:b w:val="0"/>
          <w:sz w:val="20"/>
          <w:vertAlign w:val="superscript"/>
          <w:lang w:val="en-US"/>
        </w:rPr>
        <w:t>st</w:t>
      </w:r>
      <w:r w:rsidRPr="002E6AF5">
        <w:rPr>
          <w:rFonts w:ascii="Times New Roman" w:hAnsi="Times New Roman"/>
          <w:b w:val="0"/>
          <w:sz w:val="20"/>
          <w:lang w:val="en-US"/>
        </w:rPr>
        <w:t xml:space="preserve"> – 25</w:t>
      </w:r>
      <w:r w:rsidRPr="002E6AF5">
        <w:rPr>
          <w:rFonts w:ascii="Times New Roman" w:hAnsi="Times New Roman"/>
          <w:b w:val="0"/>
          <w:sz w:val="20"/>
          <w:vertAlign w:val="superscript"/>
          <w:lang w:val="en-US"/>
        </w:rPr>
        <w:t>th</w:t>
      </w:r>
      <w:r w:rsidRPr="002E6AF5">
        <w:rPr>
          <w:rFonts w:ascii="Times New Roman" w:hAnsi="Times New Roman"/>
          <w:b w:val="0"/>
          <w:sz w:val="20"/>
          <w:lang w:val="en-US"/>
        </w:rPr>
        <w:t xml:space="preserve"> January 2019)</w:t>
      </w:r>
    </w:p>
    <w:p w14:paraId="54AEE2FF" w14:textId="303AD723" w:rsidR="002E6AF5" w:rsidRPr="002E6AF5" w:rsidRDefault="002E6AF5" w:rsidP="002E6AF5">
      <w:pPr>
        <w:pStyle w:val="TdocHeader2"/>
        <w:jc w:val="left"/>
        <w:rPr>
          <w:rFonts w:ascii="Times New Roman" w:hAnsi="Times New Roman"/>
          <w:sz w:val="20"/>
          <w:lang w:val="en-US"/>
        </w:rPr>
      </w:pPr>
    </w:p>
    <w:sectPr w:rsidR="002E6AF5" w:rsidRPr="002E6AF5" w:rsidSect="00EC1E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95EC9" w14:textId="77777777" w:rsidR="00050459" w:rsidRDefault="00050459">
      <w:r>
        <w:separator/>
      </w:r>
    </w:p>
  </w:endnote>
  <w:endnote w:type="continuationSeparator" w:id="0">
    <w:p w14:paraId="612D0ED5" w14:textId="77777777" w:rsidR="00050459" w:rsidRDefault="00050459">
      <w:r>
        <w:continuationSeparator/>
      </w:r>
    </w:p>
  </w:endnote>
  <w:endnote w:type="continuationNotice" w:id="1">
    <w:p w14:paraId="244682BF" w14:textId="77777777" w:rsidR="00050459" w:rsidRDefault="000504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050459" w:rsidRDefault="000504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050459" w:rsidRDefault="0005045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050459" w:rsidRDefault="000504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085B6" w14:textId="77777777" w:rsidR="00050459" w:rsidRDefault="00050459">
      <w:r>
        <w:separator/>
      </w:r>
    </w:p>
  </w:footnote>
  <w:footnote w:type="continuationSeparator" w:id="0">
    <w:p w14:paraId="1048F11F" w14:textId="77777777" w:rsidR="00050459" w:rsidRDefault="00050459">
      <w:r>
        <w:continuationSeparator/>
      </w:r>
    </w:p>
  </w:footnote>
  <w:footnote w:type="continuationNotice" w:id="1">
    <w:p w14:paraId="776781EE" w14:textId="77777777" w:rsidR="00050459" w:rsidRDefault="0005045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050459" w:rsidRDefault="000504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050459" w:rsidRDefault="000504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050459" w:rsidRDefault="00050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12772F"/>
    <w:multiLevelType w:val="hybridMultilevel"/>
    <w:tmpl w:val="2F2C2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01958"/>
    <w:multiLevelType w:val="hybridMultilevel"/>
    <w:tmpl w:val="D7F208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A4C3B39"/>
    <w:multiLevelType w:val="hybridMultilevel"/>
    <w:tmpl w:val="5218E5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1DD40FD"/>
    <w:multiLevelType w:val="hybridMultilevel"/>
    <w:tmpl w:val="C2D4DDF4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3962B9"/>
    <w:multiLevelType w:val="hybridMultilevel"/>
    <w:tmpl w:val="636CC6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68929E4"/>
    <w:multiLevelType w:val="hybridMultilevel"/>
    <w:tmpl w:val="26E4651C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6"/>
  </w:num>
  <w:num w:numId="6">
    <w:abstractNumId w:val="9"/>
  </w:num>
  <w:num w:numId="7">
    <w:abstractNumId w:val="2"/>
  </w:num>
  <w:num w:numId="8">
    <w:abstractNumId w:val="8"/>
  </w:num>
  <w:num w:numId="9">
    <w:abstractNumId w:val="3"/>
  </w:num>
  <w:num w:numId="10">
    <w:abstractNumId w:val="5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200A"/>
    <w:rsid w:val="00033397"/>
    <w:rsid w:val="00040095"/>
    <w:rsid w:val="00050459"/>
    <w:rsid w:val="00051BD5"/>
    <w:rsid w:val="00066DE7"/>
    <w:rsid w:val="00080512"/>
    <w:rsid w:val="00090468"/>
    <w:rsid w:val="00096C2D"/>
    <w:rsid w:val="000B7BCF"/>
    <w:rsid w:val="000C1F86"/>
    <w:rsid w:val="000C522B"/>
    <w:rsid w:val="000D2BF2"/>
    <w:rsid w:val="000D58AB"/>
    <w:rsid w:val="001017EC"/>
    <w:rsid w:val="00112F1A"/>
    <w:rsid w:val="00123300"/>
    <w:rsid w:val="001319DA"/>
    <w:rsid w:val="00145075"/>
    <w:rsid w:val="00164B12"/>
    <w:rsid w:val="00172D07"/>
    <w:rsid w:val="001741A0"/>
    <w:rsid w:val="00175FA0"/>
    <w:rsid w:val="001923D2"/>
    <w:rsid w:val="00194CD0"/>
    <w:rsid w:val="001B49C9"/>
    <w:rsid w:val="001C3EC4"/>
    <w:rsid w:val="001C4F79"/>
    <w:rsid w:val="001E404A"/>
    <w:rsid w:val="001F168B"/>
    <w:rsid w:val="001F7831"/>
    <w:rsid w:val="00204045"/>
    <w:rsid w:val="0020712B"/>
    <w:rsid w:val="0022606D"/>
    <w:rsid w:val="00231728"/>
    <w:rsid w:val="002610D8"/>
    <w:rsid w:val="002747EC"/>
    <w:rsid w:val="002855BF"/>
    <w:rsid w:val="00292FA9"/>
    <w:rsid w:val="00293477"/>
    <w:rsid w:val="002D3857"/>
    <w:rsid w:val="002E3549"/>
    <w:rsid w:val="002E6AF5"/>
    <w:rsid w:val="002F0D22"/>
    <w:rsid w:val="003153D9"/>
    <w:rsid w:val="003172DC"/>
    <w:rsid w:val="00325AE3"/>
    <w:rsid w:val="00326069"/>
    <w:rsid w:val="00350EC6"/>
    <w:rsid w:val="00353A16"/>
    <w:rsid w:val="0035462D"/>
    <w:rsid w:val="00363636"/>
    <w:rsid w:val="00364B41"/>
    <w:rsid w:val="00364CCF"/>
    <w:rsid w:val="00382439"/>
    <w:rsid w:val="00397AD3"/>
    <w:rsid w:val="003A10F9"/>
    <w:rsid w:val="003A41EF"/>
    <w:rsid w:val="003B40AD"/>
    <w:rsid w:val="003C4E37"/>
    <w:rsid w:val="003E16BE"/>
    <w:rsid w:val="003E753C"/>
    <w:rsid w:val="003F4E28"/>
    <w:rsid w:val="004006E8"/>
    <w:rsid w:val="00401855"/>
    <w:rsid w:val="004116AC"/>
    <w:rsid w:val="00416356"/>
    <w:rsid w:val="00436159"/>
    <w:rsid w:val="004412C3"/>
    <w:rsid w:val="0044262B"/>
    <w:rsid w:val="00477455"/>
    <w:rsid w:val="004905C8"/>
    <w:rsid w:val="00493837"/>
    <w:rsid w:val="004A1F7B"/>
    <w:rsid w:val="004B3324"/>
    <w:rsid w:val="004B566A"/>
    <w:rsid w:val="004C44D2"/>
    <w:rsid w:val="004D3578"/>
    <w:rsid w:val="004D380D"/>
    <w:rsid w:val="004D3E74"/>
    <w:rsid w:val="004E213A"/>
    <w:rsid w:val="004F3019"/>
    <w:rsid w:val="00503171"/>
    <w:rsid w:val="00506C28"/>
    <w:rsid w:val="00520A4B"/>
    <w:rsid w:val="00522027"/>
    <w:rsid w:val="0052620E"/>
    <w:rsid w:val="00534DA0"/>
    <w:rsid w:val="00543E6C"/>
    <w:rsid w:val="005471D3"/>
    <w:rsid w:val="00565087"/>
    <w:rsid w:val="0056573F"/>
    <w:rsid w:val="00587B75"/>
    <w:rsid w:val="005A5A2C"/>
    <w:rsid w:val="005C1155"/>
    <w:rsid w:val="005F07A1"/>
    <w:rsid w:val="00611566"/>
    <w:rsid w:val="00616511"/>
    <w:rsid w:val="00625C4F"/>
    <w:rsid w:val="0064093D"/>
    <w:rsid w:val="00646D99"/>
    <w:rsid w:val="00656910"/>
    <w:rsid w:val="0068338D"/>
    <w:rsid w:val="00683F56"/>
    <w:rsid w:val="0069717F"/>
    <w:rsid w:val="006C54E1"/>
    <w:rsid w:val="006C66D8"/>
    <w:rsid w:val="006D1E24"/>
    <w:rsid w:val="006E1417"/>
    <w:rsid w:val="006F6A2C"/>
    <w:rsid w:val="00710201"/>
    <w:rsid w:val="007342B5"/>
    <w:rsid w:val="00734A5B"/>
    <w:rsid w:val="00744E76"/>
    <w:rsid w:val="00757D40"/>
    <w:rsid w:val="0078123A"/>
    <w:rsid w:val="00781F0F"/>
    <w:rsid w:val="0078727C"/>
    <w:rsid w:val="0079049D"/>
    <w:rsid w:val="00793DC5"/>
    <w:rsid w:val="007B18D8"/>
    <w:rsid w:val="007B4CE5"/>
    <w:rsid w:val="007C095F"/>
    <w:rsid w:val="007C2DD0"/>
    <w:rsid w:val="007E2AF9"/>
    <w:rsid w:val="007E7D2C"/>
    <w:rsid w:val="008028A4"/>
    <w:rsid w:val="00813245"/>
    <w:rsid w:val="00821BC2"/>
    <w:rsid w:val="00857DC8"/>
    <w:rsid w:val="008768CA"/>
    <w:rsid w:val="00877EF9"/>
    <w:rsid w:val="00880559"/>
    <w:rsid w:val="00887951"/>
    <w:rsid w:val="008A75BE"/>
    <w:rsid w:val="008B14F1"/>
    <w:rsid w:val="008B5306"/>
    <w:rsid w:val="008D2E4D"/>
    <w:rsid w:val="008E781E"/>
    <w:rsid w:val="008F396F"/>
    <w:rsid w:val="0090271F"/>
    <w:rsid w:val="00902DB9"/>
    <w:rsid w:val="0090466A"/>
    <w:rsid w:val="009359CA"/>
    <w:rsid w:val="00936071"/>
    <w:rsid w:val="00940212"/>
    <w:rsid w:val="00942EC2"/>
    <w:rsid w:val="00961B32"/>
    <w:rsid w:val="00970DB3"/>
    <w:rsid w:val="00974BB0"/>
    <w:rsid w:val="00981421"/>
    <w:rsid w:val="009A0AF3"/>
    <w:rsid w:val="009B0604"/>
    <w:rsid w:val="009B07CD"/>
    <w:rsid w:val="009B11E4"/>
    <w:rsid w:val="009C19E9"/>
    <w:rsid w:val="009C1B45"/>
    <w:rsid w:val="009D74A6"/>
    <w:rsid w:val="00A030C5"/>
    <w:rsid w:val="00A10F02"/>
    <w:rsid w:val="00A1129D"/>
    <w:rsid w:val="00A146A4"/>
    <w:rsid w:val="00A204CA"/>
    <w:rsid w:val="00A476C6"/>
    <w:rsid w:val="00A5239A"/>
    <w:rsid w:val="00A53724"/>
    <w:rsid w:val="00A73927"/>
    <w:rsid w:val="00A82346"/>
    <w:rsid w:val="00A9671C"/>
    <w:rsid w:val="00A96B48"/>
    <w:rsid w:val="00AA1553"/>
    <w:rsid w:val="00B05962"/>
    <w:rsid w:val="00B11C1C"/>
    <w:rsid w:val="00B15449"/>
    <w:rsid w:val="00B16105"/>
    <w:rsid w:val="00B27303"/>
    <w:rsid w:val="00B47FD1"/>
    <w:rsid w:val="00B516BB"/>
    <w:rsid w:val="00B613F0"/>
    <w:rsid w:val="00B77C5A"/>
    <w:rsid w:val="00B8077D"/>
    <w:rsid w:val="00BA1727"/>
    <w:rsid w:val="00BC002A"/>
    <w:rsid w:val="00BC3555"/>
    <w:rsid w:val="00BE7E2C"/>
    <w:rsid w:val="00C12B51"/>
    <w:rsid w:val="00C238B7"/>
    <w:rsid w:val="00C24650"/>
    <w:rsid w:val="00C25465"/>
    <w:rsid w:val="00C33079"/>
    <w:rsid w:val="00C7796A"/>
    <w:rsid w:val="00C83A13"/>
    <w:rsid w:val="00C9068C"/>
    <w:rsid w:val="00C92967"/>
    <w:rsid w:val="00CA3B1A"/>
    <w:rsid w:val="00CA3D0C"/>
    <w:rsid w:val="00CA654B"/>
    <w:rsid w:val="00CB4B94"/>
    <w:rsid w:val="00CB6B9A"/>
    <w:rsid w:val="00CB72B8"/>
    <w:rsid w:val="00CC0C26"/>
    <w:rsid w:val="00CD3A17"/>
    <w:rsid w:val="00CD4C7B"/>
    <w:rsid w:val="00CD738E"/>
    <w:rsid w:val="00CE17BD"/>
    <w:rsid w:val="00CF09CA"/>
    <w:rsid w:val="00CF1FDC"/>
    <w:rsid w:val="00D05575"/>
    <w:rsid w:val="00D21955"/>
    <w:rsid w:val="00D33BE3"/>
    <w:rsid w:val="00D3792D"/>
    <w:rsid w:val="00D453F7"/>
    <w:rsid w:val="00D55E47"/>
    <w:rsid w:val="00D62E19"/>
    <w:rsid w:val="00D67CD1"/>
    <w:rsid w:val="00D738D6"/>
    <w:rsid w:val="00D80795"/>
    <w:rsid w:val="00D854BE"/>
    <w:rsid w:val="00D87E00"/>
    <w:rsid w:val="00D9134D"/>
    <w:rsid w:val="00D96D11"/>
    <w:rsid w:val="00DA2622"/>
    <w:rsid w:val="00DA5008"/>
    <w:rsid w:val="00DA7A03"/>
    <w:rsid w:val="00DB0DB8"/>
    <w:rsid w:val="00DB1818"/>
    <w:rsid w:val="00DC309B"/>
    <w:rsid w:val="00DC4DA2"/>
    <w:rsid w:val="00DD0D29"/>
    <w:rsid w:val="00E310E7"/>
    <w:rsid w:val="00E3173D"/>
    <w:rsid w:val="00E471CF"/>
    <w:rsid w:val="00E573DB"/>
    <w:rsid w:val="00E62835"/>
    <w:rsid w:val="00E77645"/>
    <w:rsid w:val="00E83697"/>
    <w:rsid w:val="00E85474"/>
    <w:rsid w:val="00EA2895"/>
    <w:rsid w:val="00EB1BE8"/>
    <w:rsid w:val="00EC1E99"/>
    <w:rsid w:val="00EC4A25"/>
    <w:rsid w:val="00EC5FF4"/>
    <w:rsid w:val="00EE282E"/>
    <w:rsid w:val="00EE7576"/>
    <w:rsid w:val="00F025A2"/>
    <w:rsid w:val="00F0410D"/>
    <w:rsid w:val="00F07388"/>
    <w:rsid w:val="00F17E18"/>
    <w:rsid w:val="00F2026E"/>
    <w:rsid w:val="00F2210A"/>
    <w:rsid w:val="00F25559"/>
    <w:rsid w:val="00F357C7"/>
    <w:rsid w:val="00F37743"/>
    <w:rsid w:val="00F54A3D"/>
    <w:rsid w:val="00F54CB0"/>
    <w:rsid w:val="00F6310E"/>
    <w:rsid w:val="00F653B8"/>
    <w:rsid w:val="00F71B89"/>
    <w:rsid w:val="00F7353C"/>
    <w:rsid w:val="00F76F8F"/>
    <w:rsid w:val="00F941DF"/>
    <w:rsid w:val="00FA11F6"/>
    <w:rsid w:val="00FA1266"/>
    <w:rsid w:val="00FA52A8"/>
    <w:rsid w:val="00FB36FA"/>
    <w:rsid w:val="00FC1192"/>
    <w:rsid w:val="00FE251B"/>
    <w:rsid w:val="05F75663"/>
    <w:rsid w:val="0FCEFB79"/>
    <w:rsid w:val="1078FD7A"/>
    <w:rsid w:val="160DE26B"/>
    <w:rsid w:val="2320C3FA"/>
    <w:rsid w:val="4CE156BE"/>
    <w:rsid w:val="4F03F543"/>
    <w:rsid w:val="54FF9DAC"/>
    <w:rsid w:val="660F1896"/>
    <w:rsid w:val="6A982446"/>
    <w:rsid w:val="7C4AA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293477"/>
    <w:pPr>
      <w:numPr>
        <w:numId w:val="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293477"/>
    <w:rPr>
      <w:rFonts w:eastAsia="SimSun"/>
      <w:sz w:val="22"/>
      <w:lang w:val="en-US" w:eastAsia="zh-CN"/>
    </w:rPr>
  </w:style>
  <w:style w:type="paragraph" w:styleId="ListParagraph">
    <w:name w:val="List Paragraph"/>
    <w:aliases w:val="- Bullets,목록 단락,?? ??,?????,????,Lista1"/>
    <w:basedOn w:val="Normal"/>
    <w:link w:val="ListParagraphChar"/>
    <w:uiPriority w:val="34"/>
    <w:qFormat/>
    <w:rsid w:val="00293477"/>
    <w:pPr>
      <w:ind w:left="720"/>
      <w:contextualSpacing/>
    </w:pPr>
  </w:style>
  <w:style w:type="character" w:customStyle="1" w:styleId="ListParagraphChar">
    <w:name w:val="List Paragraph Char"/>
    <w:aliases w:val="- Bullets Char,목록 단락 Char,?? ?? Char,????? Char,???? Char,Lista1 Char"/>
    <w:link w:val="ListParagraph"/>
    <w:uiPriority w:val="34"/>
    <w:qFormat/>
    <w:locked/>
    <w:rsid w:val="00292FA9"/>
    <w:rPr>
      <w:lang w:eastAsia="en-US"/>
    </w:rPr>
  </w:style>
  <w:style w:type="character" w:styleId="CommentReference">
    <w:name w:val="annotation reference"/>
    <w:basedOn w:val="DefaultParagraphFont"/>
    <w:rsid w:val="00C238B7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38B7"/>
  </w:style>
  <w:style w:type="character" w:customStyle="1" w:styleId="CommentTextChar">
    <w:name w:val="Comment Text Char"/>
    <w:basedOn w:val="DefaultParagraphFont"/>
    <w:link w:val="CommentText"/>
    <w:rsid w:val="00C238B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238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238B7"/>
    <w:rPr>
      <w:b/>
      <w:bCs/>
      <w:lang w:eastAsia="en-US"/>
    </w:rPr>
  </w:style>
  <w:style w:type="paragraph" w:customStyle="1" w:styleId="TdocHeader2">
    <w:name w:val="Tdoc_Header_2"/>
    <w:basedOn w:val="Normal"/>
    <w:rsid w:val="002E6AF5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5AIRPNAIUNRU-859666464-4674</_dlc_DocId>
    <_dlc_DocIdUrl xmlns="71c5aaf6-e6ce-465b-b873-5148d2a4c105">
      <Url>https://nokia.sharepoint.com/sites/c5g/e2earch/_layouts/15/DocIdRedir.aspx?ID=5AIRPNAIUNRU-859666464-4674</Url>
      <Description>5AIRPNAIUNRU-859666464-4674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71c5aaf6-e6ce-465b-b873-5148d2a4c105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83f22d2f-d16e-4be6-ad4f-29fa0b067c3c"/>
    <ds:schemaRef ds:uri="a3840f4f-04be-43d1-b2ef-6ff1382503c7"/>
    <ds:schemaRef ds:uri="http://purl.org/dc/elements/1.1/"/>
    <ds:schemaRef ds:uri="http://schemas.microsoft.com/office/2006/metadata/properties"/>
    <ds:schemaRef ds:uri="3b34c8f0-1ef5-4d1e-bb66-517ce7fe7356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4148</TotalTime>
  <Pages>2</Pages>
  <Words>1101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lastModifiedBy>Nokia</cp:lastModifiedBy>
  <cp:revision>16</cp:revision>
  <dcterms:created xsi:type="dcterms:W3CDTF">2019-02-08T12:08:00Z</dcterms:created>
  <dcterms:modified xsi:type="dcterms:W3CDTF">2019-02-13T16:05:00Z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b45968b1-3746-4087-992f-9de61e662eb4</vt:lpwstr>
  </property>
  <property fmtid="{D5CDD505-2E9C-101B-9397-08002B2CF9AE}" pid="4" name="AuthorIds_UIVersion_2560">
    <vt:lpwstr>723</vt:lpwstr>
  </property>
</Properties>
</file>